
<file path=[Content_Types].xml><?xml version="1.0" encoding="utf-8"?>
<Types xmlns="http://schemas.openxmlformats.org/package/2006/content-types">
  <Default Extension="xml" ContentType="application/xml"/>
  <Override PartName="/word/fontTable.xml" ContentType="application/vnd.openxmlformats-officedocument.wordprocessingml.fontTable+xml"/>
  <Default Extension="jpeg" ContentType="image/jpeg"/>
  <Override PartName="/word/document.xml" ContentType="application/vnd.openxmlformats-officedocument.wordprocessingml.document.main+xml"/>
  <Override PartName="/word/styles.xml" ContentType="application/vnd.openxmlformats-officedocument.wordprocessingml.styles+xml"/>
  <Default Extension="rels" ContentType="application/vnd.openxmlformats-package.relationships+xml"/>
  <Override PartName="/word/webSettings.xml" ContentType="application/vnd.openxmlformats-officedocument.wordprocessingml.webSettings+xml"/>
  <Override PartName="/word/theme/theme1.xml" ContentType="application/vnd.openxmlformats-officedocument.theme+xml"/>
  <Override PartName="/docProps/core.xml" ContentType="application/vnd.openxmlformats-package.core-properties+xml"/>
  <Override PartName="/word/settings.xml" ContentType="application/vnd.openxmlformats-officedocument.wordprocessingml.setting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0C75" w:rsidRDefault="00A70C75" w:rsidP="00A70C75">
      <w:pPr>
        <w:jc w:val="both"/>
        <w:rPr>
          <w:rFonts w:ascii="Times" w:hAnsi="Times"/>
        </w:rPr>
      </w:pPr>
      <w:r>
        <w:rPr>
          <w:rFonts w:ascii="Times" w:hAnsi="Times"/>
        </w:rPr>
        <w:t xml:space="preserve">1. Quel sens donner au contraste entre les ténèbres et la lumière dans cet extrait ? Comment la lumière se diffuse-t-elle ? </w:t>
      </w:r>
    </w:p>
    <w:p w:rsidR="00A70C75" w:rsidRDefault="00A70C75" w:rsidP="00A70C75">
      <w:pPr>
        <w:jc w:val="both"/>
        <w:rPr>
          <w:rFonts w:ascii="Times" w:hAnsi="Times"/>
          <w:i/>
        </w:rPr>
      </w:pPr>
      <w:r>
        <w:rPr>
          <w:rFonts w:ascii="Times" w:hAnsi="Times"/>
          <w:i/>
        </w:rPr>
        <w:t xml:space="preserve">Au seuil de l’œuvre, </w:t>
      </w:r>
      <w:proofErr w:type="spellStart"/>
      <w:r>
        <w:rPr>
          <w:rFonts w:ascii="Times" w:hAnsi="Times"/>
          <w:i/>
        </w:rPr>
        <w:t>Marlow</w:t>
      </w:r>
      <w:proofErr w:type="spellEnd"/>
      <w:r>
        <w:rPr>
          <w:rFonts w:ascii="Times" w:hAnsi="Times"/>
          <w:i/>
        </w:rPr>
        <w:t>, qui commence ici son récit, éclaire le titre en reprenant à trois reprises le terme « ténèbres ». Son récit s’inscrit dans la lignée de l’incipit (</w:t>
      </w:r>
      <w:proofErr w:type="spellStart"/>
      <w:r>
        <w:rPr>
          <w:rFonts w:ascii="Times" w:hAnsi="Times"/>
          <w:i/>
        </w:rPr>
        <w:t>narrateur-cadre</w:t>
      </w:r>
      <w:proofErr w:type="spellEnd"/>
      <w:r>
        <w:rPr>
          <w:rFonts w:ascii="Times" w:hAnsi="Times"/>
          <w:i/>
        </w:rPr>
        <w:t xml:space="preserve">) qui a créé un fort contraste entre lumières et ténèbres. Ce contraste est ici repris par le personnage de </w:t>
      </w:r>
      <w:proofErr w:type="spellStart"/>
      <w:r>
        <w:rPr>
          <w:rFonts w:ascii="Times" w:hAnsi="Times"/>
          <w:i/>
        </w:rPr>
        <w:t>Marlow</w:t>
      </w:r>
      <w:proofErr w:type="spellEnd"/>
      <w:r>
        <w:rPr>
          <w:rFonts w:ascii="Times" w:hAnsi="Times"/>
          <w:i/>
        </w:rPr>
        <w:t xml:space="preserve"> qui explique que l’Angleterre était un lieu de ténèbres : « Mais les ténèbres étaient ici hier » (p.45) puis « Ils étaient assez solides pour faire face aux ténèbres » (p.46), en parlant des Romains arrivés sur le territoire des îles britanniques. </w:t>
      </w:r>
    </w:p>
    <w:p w:rsidR="00A70C75" w:rsidRDefault="00A70C75" w:rsidP="00A70C75">
      <w:pPr>
        <w:jc w:val="both"/>
        <w:rPr>
          <w:rFonts w:ascii="Times" w:hAnsi="Times"/>
          <w:i/>
        </w:rPr>
      </w:pPr>
      <w:r>
        <w:rPr>
          <w:rFonts w:ascii="Times" w:hAnsi="Times"/>
          <w:i/>
        </w:rPr>
        <w:t xml:space="preserve">Pourtant, l’Angleterre est désormais un lieu de lumière, et le centre d’une dispersion ou d’une propagation de cette lumière dans d’autres endroits, en particulier au Congo (qui n’est pas nommé), comme on l’apprendra dans la suite du texte, mais aussi au Moyen-Orient puisque </w:t>
      </w:r>
      <w:proofErr w:type="spellStart"/>
      <w:r>
        <w:rPr>
          <w:rFonts w:ascii="Times" w:hAnsi="Times"/>
          <w:i/>
        </w:rPr>
        <w:t>Marlow</w:t>
      </w:r>
      <w:proofErr w:type="spellEnd"/>
      <w:r>
        <w:rPr>
          <w:rFonts w:ascii="Times" w:hAnsi="Times"/>
          <w:i/>
        </w:rPr>
        <w:t xml:space="preserve"> fait allusion aux croisades. Lorsqu’il dit que « La lumière est venue de ce fleuve » (p.45), il opère un basculement qui atteste de la présence des Romains : ils ont apporté la lumière dans le lieu de ténèbres qu’était l’Angleterre. A son tour, l’Angleterre apporte la lumière. Mais la question du personnage « - depuis les chevaliers, dites-vous ? » ainsi que la phrase suivante « Oui, mais c’est comme un embrasement qui court sur la plaine, comme un éclair dans les nuages. » indiquent une nuance : ce n’est pas sa pensée à lui (« dites-vous »), et la conjonction de coordination « mais » suivie des deux comparaisons limite l’éclat de cette lumière et sa durée. D’autre part, on note qu’elle se propage par la guerre puisqu’il est question des croisades. La « lumière » est donc transmise dans la violence, ce qui semble normal à ceux qui la dispensent ainsi de force, en témoigne l’expression impersonnelle « comme il convient quand on a affaire aux ténèbres » (p.47), ainsi que le champ lexical de la violence et de la mort (« force brute, la rapine à main armée, le meurtre avec circonstances aggravantes à grande échelle »).</w:t>
      </w:r>
    </w:p>
    <w:p w:rsidR="00A70C75" w:rsidRDefault="00A70C75" w:rsidP="00A70C75">
      <w:pPr>
        <w:jc w:val="both"/>
        <w:rPr>
          <w:rFonts w:ascii="Times" w:hAnsi="Times"/>
        </w:rPr>
      </w:pPr>
    </w:p>
    <w:p w:rsidR="00A70C75" w:rsidRDefault="00A70C75" w:rsidP="00A70C75">
      <w:pPr>
        <w:jc w:val="both"/>
        <w:rPr>
          <w:rFonts w:ascii="Times" w:hAnsi="Times"/>
        </w:rPr>
      </w:pPr>
      <w:r>
        <w:rPr>
          <w:rFonts w:ascii="Times" w:hAnsi="Times"/>
        </w:rPr>
        <w:t xml:space="preserve">2. Que remarquez-vous d’étrange dans la description du paysage britannique ? En quoi peut-on parler d’une superposition de l’Angleterre et de l’Afrique dans cet extrait et quel sens lui donner ? </w:t>
      </w:r>
    </w:p>
    <w:p w:rsidR="00A70C75" w:rsidRPr="00B54949" w:rsidRDefault="00A70C75" w:rsidP="00A70C75">
      <w:pPr>
        <w:jc w:val="both"/>
        <w:rPr>
          <w:rFonts w:ascii="Times" w:hAnsi="Times"/>
          <w:i/>
        </w:rPr>
      </w:pPr>
      <w:r w:rsidRPr="00B54949">
        <w:rPr>
          <w:rFonts w:ascii="Times" w:hAnsi="Times"/>
          <w:i/>
        </w:rPr>
        <w:t>La description géographique</w:t>
      </w:r>
      <w:r>
        <w:rPr>
          <w:rFonts w:ascii="Times" w:hAnsi="Times"/>
          <w:i/>
        </w:rPr>
        <w:t xml:space="preserve"> de l’Angleterre est faite en utilisant un vocabulaire similaire à celui consacré à l’Afrique dans la suite du récit. On parle d’un « fleuve », des « ténèbres », on se trouve « au fin bout du monde », on évoque « une mer couleur de plomb », des « bancs de sable », des « marécages », des « forêts, des sauvages, bougrement peu à manger qui convienne à un homme civilisé », la présence « ça et là (d’) un camp militaire » le « désert », le « brouillard », « la maladie, l’exil et la mort », « la mort tapie dans l’air, dans l’eau, dans la brousse » et la mention « Ils ont dû mourir comme des mouches », l’existence d’un « poste de l’intérieur » au sein de la « jungle », et finalement la nécessité dans ce paysage de « vivre au milieu de l’incompréhensible », qui n’est pas sans rappeler le passage avec les hommes préhistoriques qu’on ne peut comprendre. Le plus frappant est l’utilisation des termes « désert », « jungle » et « brousse » qui ne conviennent pas à la réalité géographique de l’Angleterre. Mais cela montre que Conrad est moins désireux de décrire un paysage comme un géographe le ferait, que de </w:t>
      </w:r>
      <w:r w:rsidRPr="000B4AF4">
        <w:rPr>
          <w:rFonts w:ascii="Times" w:hAnsi="Times"/>
          <w:i/>
        </w:rPr>
        <w:t>manière à mettre en valeur</w:t>
      </w:r>
      <w:r>
        <w:rPr>
          <w:rFonts w:ascii="Times" w:hAnsi="Times"/>
          <w:b/>
          <w:i/>
        </w:rPr>
        <w:t xml:space="preserve"> l’</w:t>
      </w:r>
      <w:r w:rsidRPr="00163039">
        <w:rPr>
          <w:rFonts w:ascii="Times" w:hAnsi="Times"/>
          <w:b/>
          <w:i/>
        </w:rPr>
        <w:t>ethnocentrisme</w:t>
      </w:r>
      <w:r>
        <w:rPr>
          <w:rFonts w:ascii="Times" w:hAnsi="Times"/>
          <w:i/>
        </w:rPr>
        <w:t xml:space="preserve">. Quand Conrad dit « jungle », « brousse », « désert » : ce n’est pas à des paysages qu’il renvoie mais à l’altérité. Il nous prévient aussi, au seuil de l’œuvre, que ce qui suit est aussi frappé du sceau de l’ethnocentrisme. Les indigènes du Congo ne sont peut-être pas plus des sauvages que les Anglais. Ces termes fonctionnent comme les marqueurs symboliques d’une nature sauvage qui n’a pas encore été maîtrisée par un conquérant. </w:t>
      </w:r>
    </w:p>
    <w:p w:rsidR="00A70C75" w:rsidRDefault="00A70C75" w:rsidP="00A70C75">
      <w:pPr>
        <w:jc w:val="both"/>
        <w:rPr>
          <w:rFonts w:ascii="Times" w:hAnsi="Times"/>
        </w:rPr>
      </w:pPr>
    </w:p>
    <w:p w:rsidR="00A70C75" w:rsidRDefault="00A70C75" w:rsidP="00A70C75">
      <w:pPr>
        <w:jc w:val="both"/>
        <w:rPr>
          <w:rFonts w:ascii="Times" w:hAnsi="Times"/>
        </w:rPr>
      </w:pPr>
      <w:r>
        <w:rPr>
          <w:rFonts w:ascii="Times" w:hAnsi="Times"/>
        </w:rPr>
        <w:t xml:space="preserve">3. Quelle est l’attitude adoptée face à l’altérité ? </w:t>
      </w:r>
    </w:p>
    <w:p w:rsidR="00A70C75" w:rsidRDefault="00A70C75" w:rsidP="00A70C75">
      <w:pPr>
        <w:jc w:val="both"/>
        <w:rPr>
          <w:rFonts w:ascii="Times" w:hAnsi="Times"/>
          <w:i/>
        </w:rPr>
      </w:pPr>
      <w:r w:rsidRPr="008F01E0">
        <w:rPr>
          <w:rFonts w:ascii="Times" w:hAnsi="Times"/>
          <w:i/>
        </w:rPr>
        <w:t>Face à l’altérité, l’étranger se sent menacé</w:t>
      </w:r>
      <w:r>
        <w:rPr>
          <w:rFonts w:ascii="Times" w:hAnsi="Times"/>
          <w:i/>
        </w:rPr>
        <w:t> : « se sentir encerclé par cette sauvagerie, cette absolue sauvagerie – toute cette vie mystérieuse des solitudes, qui s’agite dans la forêt, dans la jungle, dans le cœur de l’homme sauvage. (…) Il faut vivre au milieu de l’incompréhensible, et cela aussi est détestable. En outre il émane une fascination qui fait son œuvre sur notre homme » (p.46). Il est face à quelque chose d’incompréhensible et face aussi à un mystère qu’il ne peut percer : « Et il n’y a pas non plus d’initiation à ces mystères » (p.46). L’incompréhension peut mener à la violence.</w:t>
      </w:r>
    </w:p>
    <w:p w:rsidR="00A70C75" w:rsidRDefault="00A70C75" w:rsidP="00A70C75">
      <w:pPr>
        <w:jc w:val="both"/>
        <w:rPr>
          <w:rFonts w:ascii="Times" w:hAnsi="Times"/>
          <w:i/>
        </w:rPr>
      </w:pPr>
    </w:p>
    <w:p w:rsidR="00A70C75" w:rsidRDefault="00A70C75" w:rsidP="00A70C75">
      <w:pPr>
        <w:jc w:val="both"/>
        <w:rPr>
          <w:rFonts w:ascii="Times" w:hAnsi="Times"/>
        </w:rPr>
      </w:pPr>
      <w:r>
        <w:rPr>
          <w:rFonts w:ascii="Times" w:hAnsi="Times"/>
        </w:rPr>
        <w:t xml:space="preserve">4. Quelle distinction terminologique est mise en place par </w:t>
      </w:r>
      <w:proofErr w:type="spellStart"/>
      <w:r>
        <w:rPr>
          <w:rFonts w:ascii="Times" w:hAnsi="Times"/>
        </w:rPr>
        <w:t>Marlow</w:t>
      </w:r>
      <w:proofErr w:type="spellEnd"/>
      <w:r>
        <w:rPr>
          <w:rFonts w:ascii="Times" w:hAnsi="Times"/>
        </w:rPr>
        <w:t> ? En quoi consiste l’aventure coloniale et quel est son rapport avec l’altérité ?</w:t>
      </w:r>
    </w:p>
    <w:p w:rsidR="00A70C75" w:rsidRDefault="00A70C75" w:rsidP="00A70C75">
      <w:pPr>
        <w:jc w:val="both"/>
        <w:rPr>
          <w:rFonts w:ascii="Times" w:hAnsi="Times"/>
          <w:i/>
        </w:rPr>
      </w:pPr>
      <w:proofErr w:type="spellStart"/>
      <w:r>
        <w:rPr>
          <w:rFonts w:ascii="Times" w:hAnsi="Times"/>
          <w:i/>
        </w:rPr>
        <w:t>Marlow</w:t>
      </w:r>
      <w:proofErr w:type="spellEnd"/>
      <w:r>
        <w:rPr>
          <w:rFonts w:ascii="Times" w:hAnsi="Times"/>
          <w:i/>
        </w:rPr>
        <w:t xml:space="preserve"> fait la différence entre les termes « colonisateurs » et « conquérants » (p.47). Le conquérant est perçu </w:t>
      </w:r>
      <w:r w:rsidRPr="00113CA0">
        <w:rPr>
          <w:rFonts w:ascii="Times" w:hAnsi="Times"/>
          <w:i/>
        </w:rPr>
        <w:t xml:space="preserve">comme privé d’une ambition </w:t>
      </w:r>
      <w:r>
        <w:rPr>
          <w:rFonts w:ascii="Times" w:hAnsi="Times"/>
          <w:i/>
        </w:rPr>
        <w:t xml:space="preserve">civilisatrice qui peut encore animer le colonisateur, placé au service d’une idée, mot répété à la fin de l’extrait. Le conquérant n’a besoin que d’exercer une force, son but est de réduire l’étranger à néant : « meurtre avec circonstances aggravantes à grande échelle ». </w:t>
      </w:r>
      <w:proofErr w:type="spellStart"/>
      <w:r>
        <w:rPr>
          <w:rFonts w:ascii="Times" w:hAnsi="Times"/>
          <w:i/>
        </w:rPr>
        <w:t>Marlow</w:t>
      </w:r>
      <w:proofErr w:type="spellEnd"/>
      <w:r>
        <w:rPr>
          <w:rFonts w:ascii="Times" w:hAnsi="Times"/>
          <w:i/>
        </w:rPr>
        <w:t xml:space="preserve"> précise en quoi consiste la conquête de la terre : « la prendre à des hommes d’une autre couleur que nous, ou dont le nez est un peu plus plat ». L’altérité est perçue comme un élément à soumettre ou à détruire, mais en aucun cas elle n’est envisagée comme une source de réflexion, d’ouverture, de tolérance ou même de curiosité, ce qui est différent par exemple chez Ulysse qui se montre au moins à trois reprises curieux, avec le Cyclope, les Sirènes et Circé. La seule chose qui anime le conquérant est l’avidité. Et le sous-entendu est lourd de sens : « n’est pas une jolie chose ». </w:t>
      </w:r>
    </w:p>
    <w:p w:rsidR="00A70C75" w:rsidRDefault="00A70C75" w:rsidP="00A70C75">
      <w:pPr>
        <w:jc w:val="both"/>
        <w:rPr>
          <w:rFonts w:ascii="Times" w:hAnsi="Times"/>
          <w:i/>
        </w:rPr>
      </w:pPr>
      <w:r w:rsidRPr="00113CA0">
        <w:rPr>
          <w:rFonts w:ascii="Times" w:hAnsi="Times"/>
          <w:i/>
          <w:u w:val="single"/>
        </w:rPr>
        <w:t>Attention </w:t>
      </w:r>
      <w:r>
        <w:rPr>
          <w:rFonts w:ascii="Times" w:hAnsi="Times"/>
          <w:i/>
        </w:rPr>
        <w:t>: il y a bien sûr un jugement de valeur dans la distinction terminologique. Il faut remettre les choses dans leur contexte et comprendre l’état d’esprit de l’époque : le colonisateur apporte la civilisation (voir la tante). C’est un cadre dans lequel la colonisation n’est pas remise en question mais la violence dans laquelle elle se déploie. Tant qu’il y a une idée, un apport de lumière, c’est bon. Attention à l’anachronisme.</w:t>
      </w:r>
    </w:p>
    <w:p w:rsidR="00A70C75" w:rsidRDefault="00A70C75" w:rsidP="00A70C75">
      <w:pPr>
        <w:jc w:val="both"/>
        <w:rPr>
          <w:rFonts w:ascii="Times" w:hAnsi="Times"/>
          <w:i/>
        </w:rPr>
      </w:pPr>
    </w:p>
    <w:p w:rsidR="00F642A4" w:rsidRDefault="00A70C75"/>
    <w:sectPr w:rsidR="00F642A4" w:rsidSect="00F642A4">
      <w:pgSz w:w="11906" w:h="16838"/>
      <w:pgMar w:top="1417" w:right="1417" w:bottom="1417" w:left="1417" w:header="708" w:footer="708" w:gutter="0"/>
      <w:cols w:space="708"/>
    </w:sectPr>
  </w:body>
</w:document>
</file>

<file path=word/fontTable.xml><?xml version="1.0" encoding="utf-8"?>
<w:fonts xmlns:r="http://schemas.openxmlformats.org/officeDocument/2006/relationships" xmlns:w="http://schemas.openxmlformats.org/wordprocessingml/2006/main">
  <w:font w:name="Cambria">
    <w:panose1 w:val="020405030504060302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Times">
    <w:altName w:val="Times Roman"/>
    <w:panose1 w:val="02000500000000000000"/>
    <w:charset w:val="4D"/>
    <w:family w:val="roman"/>
    <w:notTrueType/>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proofState w:spelling="clean"/>
  <w:doNotTrackMoves/>
  <w:defaultTabStop w:val="708"/>
  <w:hyphenationZone w:val="425"/>
  <w:displayHorizontalDrawingGridEvery w:val="0"/>
  <w:displayVerticalDrawingGridEvery w:val="0"/>
  <w:doNotUseMarginsForDrawingGridOrigin/>
  <w:noPunctuationKerning/>
  <w:characterSpacingControl w:val="doNotCompress"/>
  <w:savePreviewPicture/>
  <w:doNotValidateAgainstSchema/>
  <w:doNotDemarcateInvalidXml/>
  <w:compat>
    <w:doNotAutofitConstrainedTables/>
    <w:splitPgBreakAndParaMark/>
    <w:doNotVertAlignCellWithSp/>
    <w:doNotBreakConstrainedForcedTable/>
    <w:useAnsiKerningPairs/>
    <w:cachedColBalance/>
  </w:compat>
  <w:rsids>
    <w:rsidRoot w:val="00A70C75"/>
    <w:rsid w:val="00A70C75"/>
  </w:rsids>
  <m:mathPr>
    <m:mathFont m:val="Wingdings 2"/>
    <m:brkBin m:val="before"/>
    <m:brkBinSub m:val="--"/>
    <m:smallFrac m:val="off"/>
    <m:dispDef m:val="off"/>
    <m:lMargin m:val="0"/>
    <m:rMargin m:val="0"/>
    <m:wrapRight/>
    <m:intLim m:val="subSup"/>
    <m:naryLim m:val="subSup"/>
  </m:mathPr>
  <w:themeFontLang w:val="fr-FR"/>
  <w:clrSchemeMapping w:bg1="light1" w:t1="dark1" w:bg2="light2" w:t2="dark2" w:accent1="accent1" w:accent2="accent2" w:accent3="accent3" w:accent4="accent4" w:accent5="accent5" w:accent6="accent6" w:hyperlink="hyperlink" w:followedHyperlink="followedHyperlink"/>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lang w:val="fr-FR"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0C75"/>
    <w:rPr>
      <w:sz w:val="24"/>
    </w:rPr>
  </w:style>
  <w:style w:type="character" w:default="1" w:styleId="Policepardfaut">
    <w:name w:val="Default Paragraph Font"/>
    <w:semiHidden/>
    <w:unhideWhenUsed/>
  </w:style>
  <w:style w:type="table" w:default="1" w:styleId="TableauNormal">
    <w:name w:val="Normal Table"/>
    <w:semiHidden/>
    <w:unhideWhenUsed/>
    <w:qFormat/>
    <w:tblPr>
      <w:tblInd w:w="0" w:type="dxa"/>
      <w:tblCellMar>
        <w:top w:w="0" w:type="dxa"/>
        <w:left w:w="108" w:type="dxa"/>
        <w:bottom w:w="0" w:type="dxa"/>
        <w:right w:w="108" w:type="dxa"/>
      </w:tblCellMar>
    </w:tblPr>
  </w:style>
  <w:style w:type="numbering" w:default="1" w:styleId="Aucuneliste">
    <w:name w:val="No List"/>
    <w:semiHidden/>
    <w:unhideWhenUsed/>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fontTable" Target="fontTable.xml"/><Relationship Id="rId5"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s>
</file>

<file path=word/theme/theme1.xml><?xml version="1.0" encoding="utf-8"?>
<a:theme xmlns:a="http://schemas.openxmlformats.org/drawingml/2006/main" name="Thème Office">
  <a:themeElements>
    <a:clrScheme name="Bureau">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Bureau">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Bureau">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891</Words>
  <Characters>5083</Characters>
  <Application>Microsoft Macintosh Word</Application>
  <DocSecurity>0</DocSecurity>
  <Lines>42</Lines>
  <Paragraphs>10</Paragraphs>
  <ScaleCrop>false</ScaleCrop>
  <LinksUpToDate>false</LinksUpToDate>
  <CharactersWithSpaces>6242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imac</dc:creator>
  <cp:keywords/>
  <cp:lastModifiedBy>imac</cp:lastModifiedBy>
  <cp:revision>1</cp:revision>
  <dcterms:created xsi:type="dcterms:W3CDTF">2019-03-07T10:23:00Z</dcterms:created>
  <dcterms:modified xsi:type="dcterms:W3CDTF">2019-03-07T10:24:00Z</dcterms:modified>
</cp:coreProperties>
</file>